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0" w:leftChars="0" w:right="0" w:rightChars="0" w:firstLine="0" w:firstLineChars="0"/>
        <w:jc w:val="center"/>
        <w:rPr>
          <w:rFonts w:hint="default" w:ascii="Times New Roman" w:hAnsi="Times New Roman" w:eastAsia="仿宋" w:cs="Times New Roman"/>
          <w:b/>
          <w:bCs/>
          <w:sz w:val="44"/>
          <w:szCs w:val="44"/>
          <w:highlight w:val="none"/>
        </w:rPr>
      </w:pPr>
      <w:r>
        <w:rPr>
          <w:rFonts w:hint="eastAsia" w:ascii="Times New Roman" w:hAnsi="Times New Roman" w:eastAsia="仿宋" w:cs="Times New Roman"/>
          <w:b/>
          <w:bCs/>
          <w:sz w:val="44"/>
          <w:szCs w:val="44"/>
          <w:highlight w:val="none"/>
          <w:lang w:eastAsia="zh-CN"/>
        </w:rPr>
        <w:t>公开征集资格审查</w:t>
      </w:r>
      <w:r>
        <w:rPr>
          <w:rFonts w:hint="default" w:ascii="Times New Roman" w:hAnsi="Times New Roman" w:eastAsia="仿宋" w:cs="Times New Roman"/>
          <w:b/>
          <w:bCs/>
          <w:sz w:val="44"/>
          <w:szCs w:val="44"/>
          <w:highlight w:val="none"/>
        </w:rPr>
        <w:t>办法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b/>
          <w:bCs/>
          <w:sz w:val="32"/>
          <w:highlight w:val="none"/>
        </w:rPr>
      </w:pP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1.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总则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1.1参照《中华人民共和国招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标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投标法》、《委托会计师事务所审计招标规范》和《交通建设项目委托审计管理办法》等法律法规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及规范性文件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编制本</w:t>
      </w:r>
      <w:r>
        <w:rPr>
          <w:rFonts w:hint="default" w:ascii="Times New Roman" w:hAnsi="Times New Roman" w:eastAsia="仿宋" w:cs="Times New Roman"/>
          <w:sz w:val="32"/>
          <w:highlight w:val="none"/>
          <w:lang w:eastAsia="zh-CN"/>
        </w:rPr>
        <w:t>次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备选库公开征集资格审查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办法。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1.2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公开征集资格审查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原则</w:t>
      </w:r>
      <w:r>
        <w:rPr>
          <w:rFonts w:hint="default" w:ascii="Times New Roman" w:hAnsi="Times New Roman" w:eastAsia="仿宋" w:cs="Times New Roman"/>
          <w:sz w:val="32"/>
          <w:highlight w:val="none"/>
          <w:lang w:eastAsia="zh-CN"/>
        </w:rPr>
        <w:t>：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公正、公平、科学、择优。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1.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资格审查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工作由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公开征集资格审查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工作小组（以下简称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小组）承担。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小组由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征集人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熟悉相关业务的代表和审计、经济、法律等方面的专家组成。本次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小组成员共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人。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1.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数量及确定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的原则：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本次征集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采用综合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法对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进行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。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  <w:t>对于</w:t>
      </w:r>
      <w:r>
        <w:rPr>
          <w:rFonts w:hint="eastAsia" w:ascii="Times New Roman" w:hAnsi="Times New Roman" w:eastAsia="仿宋" w:cs="Times New Roman"/>
          <w:color w:val="auto"/>
          <w:sz w:val="32"/>
          <w:szCs w:val="28"/>
          <w:highlight w:val="none"/>
          <w:lang w:eastAsia="zh-CN"/>
        </w:rPr>
        <w:t>备选库公开征集申请人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  <w:t>，按</w:t>
      </w:r>
      <w:r>
        <w:rPr>
          <w:rFonts w:hint="eastAsia" w:ascii="Times New Roman" w:hAnsi="Times New Roman" w:eastAsia="仿宋" w:cs="Times New Roman"/>
          <w:color w:val="auto"/>
          <w:sz w:val="32"/>
          <w:szCs w:val="28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  <w:t>小组所评议分数</w:t>
      </w:r>
      <w:r>
        <w:rPr>
          <w:rFonts w:hint="eastAsia" w:ascii="Times New Roman" w:hAnsi="Times New Roman" w:eastAsia="仿宋" w:cs="Times New Roman"/>
          <w:color w:val="auto"/>
          <w:sz w:val="32"/>
          <w:szCs w:val="28"/>
          <w:highlight w:val="none"/>
          <w:lang w:eastAsia="zh-CN"/>
        </w:rPr>
        <w:t>及确定原则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  <w:t>进行排名，</w:t>
      </w:r>
      <w:r>
        <w:rPr>
          <w:rFonts w:hint="eastAsia" w:ascii="Times New Roman" w:hAnsi="Times New Roman" w:eastAsia="仿宋" w:cs="Times New Roman"/>
          <w:color w:val="auto"/>
          <w:sz w:val="32"/>
          <w:szCs w:val="28"/>
          <w:highlight w:val="none"/>
          <w:lang w:eastAsia="zh-CN"/>
        </w:rPr>
        <w:t>通过审查并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highlight w:val="none"/>
        </w:rPr>
        <w:t>排在前列者进入备选库。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b/>
          <w:bCs/>
          <w:sz w:val="32"/>
          <w:highlight w:val="none"/>
        </w:rPr>
      </w:pP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2.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eastAsia="zh-CN"/>
        </w:rPr>
        <w:t>资格审查</w:t>
      </w: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程序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小组根据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文件规定的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标准和方法，对申请文件进行系统的评议、审查和比较。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文件中没有规定的标准和方法，不作为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的依据。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程序分为：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（1）资格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准备工作。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（2）初步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：符合性和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响应性审查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（3）详细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：定性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和定量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（4）汇总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结果，提交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报告，推荐并确定备选库候选人。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b/>
          <w:bCs/>
          <w:sz w:val="32"/>
          <w:highlight w:val="none"/>
        </w:rPr>
      </w:pP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3.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程序各阶段的内容界定与</w:t>
      </w:r>
      <w:r>
        <w:rPr>
          <w:rFonts w:hint="eastAsia" w:ascii="Times New Roman" w:hAnsi="Times New Roman" w:eastAsia="仿宋" w:cs="Times New Roman"/>
          <w:b/>
          <w:bCs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b/>
          <w:bCs/>
          <w:sz w:val="32"/>
          <w:highlight w:val="none"/>
        </w:rPr>
        <w:t>标准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3.1资格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准备工作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（1）确定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小组成员，推举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小组组长。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（2）学习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（3）准备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资料。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3.2初步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：符合性和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响应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所有申请人均需进行此项审查，审查合格后方可进入详细审查。审查因素与审查标准为：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1）公开征集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申请文件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按照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文件规定的格式、内容填写，字迹清晰可辨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，并按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征集文件的要求提供了有效证明资料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2）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申请文件签署、盖章情况符合第二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部分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“申请人须知”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规定。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3）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申请人的法定代表人身份证明或授权委托书符合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第二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部分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“申请人须知”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规定。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4）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申请文件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正、副本份数符合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第二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部分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“申请人须知”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规定。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highlight w:val="none"/>
        </w:rPr>
      </w:pPr>
      <w:r>
        <w:rPr>
          <w:rFonts w:hint="eastAsia" w:ascii="Times New Roman" w:hAnsi="Times New Roman" w:eastAsia="仿宋" w:cs="Times New Roman"/>
          <w:color w:val="auto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color w:val="auto"/>
          <w:sz w:val="32"/>
          <w:highlight w:val="none"/>
          <w:lang w:val="en-US" w:eastAsia="zh-CN"/>
        </w:rPr>
        <w:t>5）</w:t>
      </w:r>
      <w:r>
        <w:rPr>
          <w:rFonts w:hint="default" w:ascii="Times New Roman" w:hAnsi="Times New Roman" w:eastAsia="仿宋" w:cs="Times New Roman"/>
          <w:color w:val="auto"/>
          <w:sz w:val="32"/>
          <w:highlight w:val="none"/>
        </w:rPr>
        <w:t>申请人</w:t>
      </w:r>
      <w:r>
        <w:rPr>
          <w:rFonts w:hint="eastAsia" w:ascii="Times New Roman" w:hAnsi="Times New Roman" w:eastAsia="仿宋" w:cs="Times New Roman"/>
          <w:color w:val="auto"/>
          <w:sz w:val="32"/>
          <w:highlight w:val="none"/>
          <w:lang w:eastAsia="zh-CN"/>
        </w:rPr>
        <w:t>无</w:t>
      </w:r>
      <w:r>
        <w:rPr>
          <w:rFonts w:hint="default" w:ascii="Times New Roman" w:hAnsi="Times New Roman" w:eastAsia="仿宋" w:cs="Times New Roman"/>
          <w:color w:val="auto"/>
          <w:sz w:val="32"/>
          <w:highlight w:val="none"/>
        </w:rPr>
        <w:t>同时在</w:t>
      </w:r>
      <w:r>
        <w:rPr>
          <w:rFonts w:hint="eastAsia" w:ascii="Times New Roman" w:hAnsi="Times New Roman" w:eastAsia="仿宋" w:cs="Times New Roman"/>
          <w:color w:val="auto"/>
          <w:sz w:val="32"/>
          <w:highlight w:val="none"/>
          <w:lang w:eastAsia="zh-CN"/>
        </w:rPr>
        <w:t>两</w:t>
      </w:r>
      <w:r>
        <w:rPr>
          <w:rFonts w:hint="default" w:ascii="Times New Roman" w:hAnsi="Times New Roman" w:eastAsia="仿宋" w:cs="Times New Roman"/>
          <w:color w:val="auto"/>
          <w:sz w:val="32"/>
          <w:highlight w:val="none"/>
        </w:rPr>
        <w:t>个及以上联合体</w:t>
      </w:r>
      <w:r>
        <w:rPr>
          <w:rFonts w:hint="eastAsia" w:ascii="Times New Roman" w:hAnsi="Times New Roman" w:eastAsia="仿宋" w:cs="Times New Roman"/>
          <w:color w:val="auto"/>
          <w:sz w:val="32"/>
          <w:highlight w:val="none"/>
          <w:lang w:eastAsia="zh-CN"/>
        </w:rPr>
        <w:t>中</w:t>
      </w:r>
      <w:r>
        <w:rPr>
          <w:rFonts w:hint="default" w:ascii="Times New Roman" w:hAnsi="Times New Roman" w:eastAsia="仿宋" w:cs="Times New Roman"/>
          <w:color w:val="auto"/>
          <w:sz w:val="32"/>
          <w:highlight w:val="none"/>
        </w:rPr>
        <w:t>申请资格审查；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6）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申请文件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没有对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人的权利提出削弱性或限制性要求，没有对申请人的责任和义务提出实质性修改</w:t>
      </w:r>
      <w:r>
        <w:rPr>
          <w:rFonts w:hint="eastAsia" w:ascii="Times New Roman" w:hAnsi="Times New Roman" w:eastAsia="仿宋" w:cs="Times New Roman"/>
          <w:sz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3.3详细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：定性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和定量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jc w:val="left"/>
        <w:textAlignment w:val="auto"/>
        <w:outlineLvl w:val="9"/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3.3.1已在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省交通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集团201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年所发布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的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1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个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联合体备选库中的申请人：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jc w:val="left"/>
        <w:textAlignment w:val="auto"/>
        <w:outlineLvl w:val="9"/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1）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如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有成员更换的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（如仅为牵头人及成员角色互换的不视为更换），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按照新申请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单位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对待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，需重新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进行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定性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审查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及定量审查。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jc w:val="left"/>
        <w:textAlignment w:val="auto"/>
        <w:outlineLvl w:val="9"/>
        <w:rPr>
          <w:rFonts w:hint="eastAsia" w:ascii="Times New Roman" w:hAnsi="Times New Roman" w:eastAsia="仿宋" w:cs="Times New Roman"/>
          <w:b w:val="0"/>
          <w:bCs w:val="0"/>
          <w:sz w:val="32"/>
          <w:szCs w:val="28"/>
          <w:highlight w:val="none"/>
          <w:u w:val="none"/>
          <w:lang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sz w:val="32"/>
          <w:szCs w:val="28"/>
          <w:highlight w:val="none"/>
          <w:u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28"/>
          <w:highlight w:val="none"/>
          <w:u w:val="none"/>
          <w:lang w:val="en-US" w:eastAsia="zh-CN"/>
        </w:rPr>
        <w:t>2）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28"/>
          <w:highlight w:val="none"/>
          <w:u w:val="none"/>
          <w:lang w:eastAsia="zh-CN"/>
        </w:rPr>
        <w:t>如无成员更换，其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highlight w:val="none"/>
          <w:u w:val="none"/>
          <w:lang w:eastAsia="zh-CN"/>
        </w:rPr>
        <w:t>近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highlight w:val="none"/>
          <w:u w:val="none"/>
          <w:lang w:val="en-US" w:eastAsia="zh-CN"/>
        </w:rPr>
        <w:t>3年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内（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20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1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8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年1月1日至申请文件递交之日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）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联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highlight w:val="none"/>
          <w:u w:val="none"/>
          <w:lang w:val="en-US" w:eastAsia="zh-CN"/>
        </w:rPr>
        <w:t>合体牵头人或其成员在省交通集团及所属系统内从事过1项以上（含）审计项目（包括业务外包、联合审计业务合作等形式），且在省交通集团年度内部审计项目质量评估中无不良记录的，如定性审查通过，不需再进行定量审查，申请人直接入选本次委托审计社会中介机构联合体备选库</w:t>
      </w:r>
      <w:r>
        <w:rPr>
          <w:rFonts w:hint="eastAsia" w:ascii="仿宋" w:hAnsi="仿宋" w:eastAsia="仿宋"/>
          <w:b w:val="0"/>
          <w:bCs w:val="0"/>
          <w:sz w:val="32"/>
          <w:u w:val="none"/>
          <w:lang w:val="en-US" w:eastAsia="zh-CN"/>
        </w:rPr>
        <w:t>候选人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jc w:val="left"/>
        <w:textAlignment w:val="auto"/>
        <w:outlineLvl w:val="9"/>
        <w:rPr>
          <w:rFonts w:hint="eastAsia" w:ascii="Times New Roman" w:hAnsi="Times New Roman" w:eastAsia="仿宋" w:cs="Times New Roman"/>
          <w:b w:val="0"/>
          <w:bCs w:val="0"/>
          <w:sz w:val="32"/>
          <w:szCs w:val="28"/>
          <w:highlight w:val="none"/>
          <w:u w:val="none"/>
          <w:lang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sz w:val="32"/>
          <w:highlight w:val="none"/>
          <w:u w:val="none"/>
          <w:lang w:val="en-US" w:eastAsia="zh-CN"/>
        </w:rPr>
        <w:t>（3）如无成员更换且无第（2）款所述审计业绩，但定性审查通过的，视为新申请单位，继续参与定量审查及后续流程。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3.3.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定性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定性审查内容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见第二部分“申请人须知”附录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1-5</w:t>
      </w:r>
      <w:r>
        <w:rPr>
          <w:rFonts w:hint="default" w:ascii="Times New Roman" w:hAnsi="Times New Roman" w:eastAsia="仿宋" w:cs="Times New Roman"/>
          <w:sz w:val="32"/>
          <w:highlight w:val="none"/>
        </w:rPr>
        <w:t>。条件全部满足要求的通过定性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审查，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进入定量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阶段。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（2）定性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阶段，只要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有一项不满足要求，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定性审查不予通过，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其资格审查申请将被拒绝，不得进入定量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阶段。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3.3.3定量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（1）定量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使用综合定量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审查法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，采用百分制，满分100分。分值由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五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部分组成：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人员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情况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z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分，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审计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业绩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30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分，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财务能力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15分，信誉情况10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分，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初步方案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30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分。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（2）定量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具体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要素的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标准、分值和权重见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附件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z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3.4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小组成员对资格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是否合格有不同意见的，以少数服从多数的原则确定。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3.5资格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过程中，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小组可以要求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在规定时间内提供证件原件查验和对有关问题进行解释、澄清。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接到通知后，应在规定时间内提供资料和解释、澄清书面文件，逾期不提供视为放弃本次资格审查权利。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3.6在资格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阶段，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有下列行为之一的，不得被列为备选库候选人。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（1）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申请文件中有关材料弄虚作假。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（2）以他人名义申请资格审查。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（3）与其他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串通，或与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征集人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串通申请资格审查。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（4）不符合法律、法规及规章规定的强制性规定。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（5）不按照要求对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申请文件进行澄清、说明或者补正。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（6）不符合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文件中规定的实质性要求。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（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highlight w:val="none"/>
        </w:rPr>
        <w:t>）其他违反法律、法规的情形。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3.7详细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流程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3.7</w:t>
      </w:r>
      <w:r>
        <w:rPr>
          <w:rFonts w:hint="default" w:ascii="Times New Roman" w:hAnsi="Times New Roman" w:eastAsia="仿宋" w:cs="Times New Roman"/>
          <w:sz w:val="32"/>
          <w:highlight w:val="none"/>
          <w:lang w:val="en-US" w:eastAsia="zh-CN"/>
        </w:rPr>
        <w:t>.1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每位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小组成员对每份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申请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文件中各项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内容逐项进行评分。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3.7.2汇总所有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小组成员对同一份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申请文件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的单项分值，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算术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平均后得出各单项的最后分值，再把各单项分值合计，得出该份申请文件总分。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3.7.3计分规则：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小组成员按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附件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内容和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标准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评分。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3.7.4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小组对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申请文件的最后评分结果，按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下列原则顺序及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分值的高低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进行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排序。</w:t>
      </w:r>
    </w:p>
    <w:p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" w:hAnsi="仿宋" w:eastAsia="仿宋"/>
          <w:sz w:val="32"/>
          <w:lang w:val="en-US" w:eastAsia="zh-CN"/>
        </w:rPr>
      </w:pPr>
      <w:r>
        <w:rPr>
          <w:rFonts w:hint="eastAsia" w:ascii="仿宋" w:hAnsi="仿宋" w:eastAsia="仿宋"/>
          <w:sz w:val="32"/>
          <w:lang w:val="en-US" w:eastAsia="zh-CN"/>
        </w:rPr>
        <w:t>（1）对符合本资格审查办法</w:t>
      </w:r>
      <w:r>
        <w:rPr>
          <w:rFonts w:hint="default" w:ascii="Times New Roman" w:hAnsi="Times New Roman" w:eastAsia="仿宋" w:cs="Times New Roman"/>
          <w:sz w:val="32"/>
          <w:lang w:val="en-US" w:eastAsia="zh-CN"/>
        </w:rPr>
        <w:t>3.3.1（2）</w:t>
      </w:r>
      <w:r>
        <w:rPr>
          <w:rFonts w:hint="eastAsia" w:ascii="仿宋" w:hAnsi="仿宋" w:eastAsia="仿宋"/>
          <w:sz w:val="32"/>
          <w:lang w:val="en-US" w:eastAsia="zh-CN"/>
        </w:rPr>
        <w:t>条件的申请人，直接</w:t>
      </w:r>
      <w:r>
        <w:rPr>
          <w:rFonts w:hint="eastAsia" w:ascii="仿宋" w:hAnsi="仿宋" w:eastAsia="仿宋" w:cs="Arial"/>
          <w:color w:val="auto"/>
          <w:sz w:val="32"/>
          <w:szCs w:val="28"/>
          <w:lang w:val="en-US" w:eastAsia="zh-CN"/>
        </w:rPr>
        <w:t>入选</w:t>
      </w:r>
      <w:r>
        <w:rPr>
          <w:rFonts w:hint="eastAsia" w:ascii="仿宋" w:hAnsi="仿宋" w:eastAsia="仿宋"/>
          <w:sz w:val="32"/>
          <w:lang w:val="en-US" w:eastAsia="zh-CN"/>
        </w:rPr>
        <w:t>本备选库候选人；</w:t>
      </w:r>
    </w:p>
    <w:p>
      <w:pPr>
        <w:numPr>
          <w:ilvl w:val="0"/>
          <w:numId w:val="0"/>
        </w:num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28"/>
        </w:rPr>
      </w:pPr>
      <w:r>
        <w:rPr>
          <w:rFonts w:hint="eastAsia" w:ascii="仿宋" w:hAnsi="仿宋" w:eastAsia="仿宋"/>
          <w:sz w:val="32"/>
          <w:lang w:val="en-US" w:eastAsia="zh-CN"/>
        </w:rPr>
        <w:t>（2）对新申请人（含不符合</w:t>
      </w:r>
      <w:r>
        <w:rPr>
          <w:rFonts w:hint="default" w:ascii="Times New Roman" w:hAnsi="Times New Roman" w:eastAsia="仿宋" w:cs="Times New Roman"/>
          <w:sz w:val="32"/>
          <w:lang w:val="en-US" w:eastAsia="zh-CN"/>
        </w:rPr>
        <w:t>3.3.1（2）</w:t>
      </w:r>
      <w:r>
        <w:rPr>
          <w:rFonts w:hint="eastAsia" w:ascii="仿宋" w:hAnsi="仿宋" w:eastAsia="仿宋"/>
          <w:sz w:val="32"/>
          <w:lang w:val="en-US" w:eastAsia="zh-CN"/>
        </w:rPr>
        <w:t>条件的</w:t>
      </w:r>
      <w:r>
        <w:rPr>
          <w:rFonts w:hint="eastAsia" w:ascii="Times New Roman" w:hAnsi="Times New Roman" w:eastAsia="仿宋" w:cs="Times New Roman"/>
          <w:sz w:val="32"/>
          <w:highlight w:val="none"/>
          <w:lang w:val="en-US" w:eastAsia="zh-CN"/>
        </w:rPr>
        <w:t>已在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省交通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集团201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年所发布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的</w:t>
      </w:r>
      <w:r>
        <w:rPr>
          <w:rFonts w:hint="eastAsia" w:ascii="仿宋" w:hAnsi="仿宋" w:eastAsia="仿宋"/>
          <w:sz w:val="32"/>
          <w:lang w:val="en-US" w:eastAsia="zh-CN"/>
        </w:rPr>
        <w:t>联合体备选库中的申请人）</w:t>
      </w:r>
      <w:r>
        <w:rPr>
          <w:rFonts w:hint="eastAsia" w:ascii="仿宋" w:hAnsi="仿宋" w:eastAsia="仿宋" w:cs="Arial"/>
          <w:color w:val="auto"/>
          <w:sz w:val="32"/>
          <w:szCs w:val="28"/>
        </w:rPr>
        <w:t>，按</w:t>
      </w:r>
      <w:r>
        <w:rPr>
          <w:rFonts w:hint="eastAsia" w:ascii="仿宋" w:hAnsi="仿宋" w:eastAsia="仿宋" w:cs="Arial"/>
          <w:color w:val="auto"/>
          <w:sz w:val="32"/>
          <w:szCs w:val="28"/>
          <w:lang w:eastAsia="zh-CN"/>
        </w:rPr>
        <w:t>审查</w:t>
      </w:r>
      <w:r>
        <w:rPr>
          <w:rFonts w:hint="eastAsia" w:ascii="仿宋" w:hAnsi="仿宋" w:eastAsia="仿宋" w:cs="Arial"/>
          <w:color w:val="auto"/>
          <w:sz w:val="32"/>
          <w:szCs w:val="28"/>
        </w:rPr>
        <w:t>小组所评议</w:t>
      </w:r>
      <w:r>
        <w:rPr>
          <w:rFonts w:hint="eastAsia" w:ascii="仿宋" w:hAnsi="仿宋" w:eastAsia="仿宋" w:cs="Arial"/>
          <w:color w:val="auto"/>
          <w:sz w:val="32"/>
          <w:szCs w:val="28"/>
          <w:lang w:eastAsia="zh-CN"/>
        </w:rPr>
        <w:t>结果，</w:t>
      </w:r>
      <w:r>
        <w:rPr>
          <w:rFonts w:hint="eastAsia" w:ascii="仿宋" w:hAnsi="仿宋" w:eastAsia="仿宋" w:cs="Arial"/>
          <w:color w:val="auto"/>
          <w:sz w:val="32"/>
          <w:szCs w:val="28"/>
        </w:rPr>
        <w:t>分数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lang w:eastAsia="zh-CN"/>
        </w:rPr>
        <w:t>在</w:t>
      </w:r>
      <w:r>
        <w:rPr>
          <w:rFonts w:hint="eastAsia" w:ascii="Times New Roman" w:hAnsi="Times New Roman" w:eastAsia="仿宋" w:cs="Times New Roman"/>
          <w:color w:val="auto"/>
          <w:sz w:val="32"/>
          <w:szCs w:val="28"/>
          <w:lang w:val="en-US" w:eastAsia="zh-CN"/>
        </w:rPr>
        <w:t>94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  <w:lang w:val="en-US" w:eastAsia="zh-CN"/>
        </w:rPr>
        <w:t>分（含）以上者进入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</w:rPr>
        <w:t>备选库</w:t>
      </w:r>
      <w:r>
        <w:rPr>
          <w:rFonts w:hint="default" w:ascii="Times New Roman" w:hAnsi="Times New Roman" w:eastAsia="仿宋" w:cs="Times New Roman"/>
          <w:sz w:val="32"/>
          <w:lang w:val="en-US" w:eastAsia="zh-CN"/>
        </w:rPr>
        <w:t>候选人</w:t>
      </w:r>
      <w:r>
        <w:rPr>
          <w:rFonts w:hint="default" w:ascii="Times New Roman" w:hAnsi="Times New Roman" w:eastAsia="仿宋" w:cs="Times New Roman"/>
          <w:color w:val="auto"/>
          <w:sz w:val="32"/>
          <w:szCs w:val="28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3.8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小组完成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工作后，向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征集人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提出书面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报告，推荐合格的备选库候选人。书面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报告由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小组全体成员签名。</w:t>
      </w:r>
    </w:p>
    <w:p>
      <w:pPr>
        <w:spacing w:line="560" w:lineRule="exact"/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br w:type="page"/>
      </w:r>
      <w:r>
        <w:rPr>
          <w:rFonts w:hint="eastAsia" w:ascii="仿宋" w:hAnsi="仿宋" w:eastAsia="仿宋" w:cs="仿宋"/>
          <w:b/>
          <w:sz w:val="32"/>
          <w:szCs w:val="32"/>
        </w:rPr>
        <w:t>附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件</w:t>
      </w:r>
      <w:r>
        <w:rPr>
          <w:rFonts w:hint="eastAsia" w:ascii="仿宋" w:hAnsi="仿宋" w:eastAsia="仿宋" w:cs="仿宋"/>
          <w:b/>
          <w:sz w:val="32"/>
          <w:szCs w:val="32"/>
        </w:rPr>
        <w:t>1  评分标准</w:t>
      </w:r>
    </w:p>
    <w:tbl>
      <w:tblPr>
        <w:tblStyle w:val="4"/>
        <w:tblW w:w="9828" w:type="dxa"/>
        <w:jc w:val="center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350"/>
        <w:gridCol w:w="710"/>
        <w:gridCol w:w="969"/>
        <w:gridCol w:w="617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2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Chars="-130" w:right="0" w:rightChars="0" w:hanging="273" w:hangingChars="13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 xml:space="preserve">  序号</w:t>
            </w:r>
          </w:p>
        </w:tc>
        <w:tc>
          <w:tcPr>
            <w:tcW w:w="13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项目</w:t>
            </w:r>
          </w:p>
        </w:tc>
        <w:tc>
          <w:tcPr>
            <w:tcW w:w="7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满分</w:t>
            </w:r>
          </w:p>
        </w:tc>
        <w:tc>
          <w:tcPr>
            <w:tcW w:w="714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得  分  说   明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6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  <w:tc>
          <w:tcPr>
            <w:tcW w:w="13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  <w:tc>
          <w:tcPr>
            <w:tcW w:w="7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  <w:tc>
          <w:tcPr>
            <w:tcW w:w="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 xml:space="preserve"> 满足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最低要求</w:t>
            </w:r>
          </w:p>
        </w:tc>
        <w:tc>
          <w:tcPr>
            <w:tcW w:w="61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 w:firstLine="420" w:firstLineChars="20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加分情况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（满足最低要求基础上）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5" w:hRule="atLeast"/>
          <w:jc w:val="center"/>
        </w:trPr>
        <w:tc>
          <w:tcPr>
            <w:tcW w:w="6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1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人员情况</w:t>
            </w:r>
          </w:p>
        </w:tc>
        <w:tc>
          <w:tcPr>
            <w:tcW w:w="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61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会计师事务所：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每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增加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名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注册会计师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分，最高加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造价咨询企业：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每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l名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注册造价工程师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分，最高加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本项累计加分不超过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6分。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0" w:hRule="atLeast"/>
          <w:jc w:val="center"/>
        </w:trPr>
        <w:tc>
          <w:tcPr>
            <w:tcW w:w="6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2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审计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业绩</w:t>
            </w:r>
          </w:p>
        </w:tc>
        <w:tc>
          <w:tcPr>
            <w:tcW w:w="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6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61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会计师事务所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每增加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投资金额≥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亿元的基建项目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（指公路、铁路、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机场、港口码头、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市政道路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房建项目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，下同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审计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业绩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1个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每增加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投资金额≥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且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＜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亿元的基建项目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审计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业绩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1个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0.5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。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项最高加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造价咨询企业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每增加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投资金额≥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亿元的基建项目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审计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业绩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1个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每增加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投资金额≥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且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＜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亿元的基建项目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审计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业绩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1个计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0.5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分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。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项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最高加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会计师事务所：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每增加审计合同金额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≥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万元的经济责任审计项目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业绩1个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加1分，最高加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本项累计加分不超过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12分。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0" w:hRule="atLeast"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3</w:t>
            </w:r>
          </w:p>
        </w:tc>
        <w:tc>
          <w:tcPr>
            <w:tcW w:w="135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leftChars="-62" w:right="0" w:rightChars="0" w:firstLine="210" w:firstLineChars="10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财务能力</w:t>
            </w:r>
          </w:p>
        </w:tc>
        <w:tc>
          <w:tcPr>
            <w:tcW w:w="7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  <w:t>1</w:t>
            </w: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6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61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会计师事务所：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2017~2019年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平均营业收入每增加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00万元加1分，尾数不计，最高加3分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right="0" w:rightChars="0" w:firstLine="42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eastAsia="zh-CN"/>
              </w:rPr>
              <w:t>造价咨询企业：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2017~2019年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平均营业收入每增加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00万元加1分，尾数不计，最高加3分；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本项累计加分不超过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4</w:t>
            </w:r>
          </w:p>
        </w:tc>
        <w:tc>
          <w:tcPr>
            <w:tcW w:w="135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leftChars="-62" w:right="0" w:rightChars="0" w:firstLine="210" w:firstLineChars="10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信誉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情况</w:t>
            </w:r>
          </w:p>
        </w:tc>
        <w:tc>
          <w:tcPr>
            <w:tcW w:w="7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96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61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会计师事务所：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近年（指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17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、20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18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、20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20三年，2019年未评价）中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有一年为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广东省注册会计师协会网站公布的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“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广东省会计师事务所综合评价排名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”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前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50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名的加2分，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每增加一年加2分，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  <w:t>累计加分不超过4分。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0" w:hRule="atLeast"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5</w:t>
            </w:r>
          </w:p>
        </w:tc>
        <w:tc>
          <w:tcPr>
            <w:tcW w:w="135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leftChars="-62" w:right="0" w:rightChars="0" w:firstLine="210" w:firstLineChars="10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初步方案</w:t>
            </w:r>
          </w:p>
        </w:tc>
        <w:tc>
          <w:tcPr>
            <w:tcW w:w="7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  <w:t>30</w:t>
            </w:r>
          </w:p>
        </w:tc>
        <w:tc>
          <w:tcPr>
            <w:tcW w:w="96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  <w:t>18</w:t>
            </w:r>
          </w:p>
        </w:tc>
        <w:tc>
          <w:tcPr>
            <w:tcW w:w="617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由各评委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对申请人初步审计方案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各自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审查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并打分。本项加分最高不超过12分。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审计目标是否清晰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思路是否可行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方法是否得当：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得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～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2.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审计质量控制各种管理制度是否齐全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措施是否有效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得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～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25" w:leftChars="-12" w:right="0" w:rightChars="0" w:firstLine="315" w:firstLineChars="150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审计重点是否突出、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关键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难点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分析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  <w:t>是否到位、解决措施是否得当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：得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～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  <w:jc w:val="center"/>
        </w:trPr>
        <w:tc>
          <w:tcPr>
            <w:tcW w:w="197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合计</w:t>
            </w:r>
          </w:p>
        </w:tc>
        <w:tc>
          <w:tcPr>
            <w:tcW w:w="710" w:type="dxa"/>
            <w:tcBorders>
              <w:bottom w:val="single" w:color="auto" w:sz="4" w:space="0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100</w:t>
            </w:r>
          </w:p>
        </w:tc>
        <w:tc>
          <w:tcPr>
            <w:tcW w:w="969" w:type="dxa"/>
            <w:tcBorders>
              <w:bottom w:val="single" w:color="auto" w:sz="4" w:space="0"/>
            </w:tcBorders>
            <w:vAlign w:val="bottom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3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6175" w:type="dxa"/>
            <w:tcBorders>
              <w:bottom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left="-16" w:leftChars="-8" w:right="0" w:rightChars="0" w:firstLine="8" w:firstLineChars="4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  <w:t>/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94E74"/>
    <w:multiLevelType w:val="singleLevel"/>
    <w:tmpl w:val="5F694E74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9537A1"/>
    <w:rsid w:val="759537A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2021-02-24T00:19:00Z</dcterms:created>
  <dc:creator>兰春华</dc:creator>
  <cp:lastModifiedBy>兰春华</cp:lastModifiedBy>
  <dcterms:modified xsi:type="dcterms:W3CDTF">2021-02-24T00:20:16Z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